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D6B81" w:rsidRDefault="00AD6B81">
      <w:pPr>
        <w:rPr>
          <w:rFonts w:ascii="Times New Roman" w:eastAsia="Times New Roman" w:hAnsi="Times New Roman" w:cs="Times New Roman"/>
          <w:color w:val="262626"/>
          <w:sz w:val="21"/>
          <w:szCs w:val="21"/>
          <w:highlight w:val="white"/>
        </w:rPr>
      </w:pPr>
    </w:p>
    <w:p w14:paraId="00000002" w14:textId="77777777" w:rsidR="00AD6B81" w:rsidRPr="00B96C90" w:rsidRDefault="00000000">
      <w:pPr>
        <w:rPr>
          <w:rFonts w:ascii="Times New Roman" w:eastAsia="Times New Roman" w:hAnsi="Times New Roman" w:cs="Times New Roman"/>
          <w:b/>
          <w:color w:val="262626"/>
          <w:sz w:val="21"/>
          <w:szCs w:val="21"/>
        </w:rPr>
      </w:pPr>
      <w:r w:rsidRPr="00B96C90">
        <w:rPr>
          <w:rFonts w:ascii="Times New Roman" w:eastAsia="Times New Roman" w:hAnsi="Times New Roman" w:cs="Times New Roman"/>
          <w:b/>
          <w:color w:val="262626"/>
          <w:sz w:val="35"/>
          <w:szCs w:val="35"/>
        </w:rPr>
        <w:t xml:space="preserve">Why are soft skills important for </w:t>
      </w:r>
      <w:proofErr w:type="gramStart"/>
      <w:r w:rsidRPr="00B96C90">
        <w:rPr>
          <w:rFonts w:ascii="Times New Roman" w:eastAsia="Times New Roman" w:hAnsi="Times New Roman" w:cs="Times New Roman"/>
          <w:b/>
          <w:color w:val="262626"/>
          <w:sz w:val="35"/>
          <w:szCs w:val="35"/>
        </w:rPr>
        <w:t>Advocates ?</w:t>
      </w:r>
      <w:proofErr w:type="gramEnd"/>
      <w:r w:rsidRPr="00B96C90">
        <w:rPr>
          <w:rFonts w:ascii="Times New Roman" w:eastAsia="Times New Roman" w:hAnsi="Times New Roman" w:cs="Times New Roman"/>
          <w:b/>
          <w:color w:val="262626"/>
          <w:sz w:val="35"/>
          <w:szCs w:val="35"/>
        </w:rPr>
        <w:br/>
      </w:r>
      <w:r w:rsidRPr="00B96C90">
        <w:rPr>
          <w:rFonts w:ascii="Times New Roman" w:eastAsia="Times New Roman" w:hAnsi="Times New Roman" w:cs="Times New Roman"/>
          <w:b/>
          <w:color w:val="262626"/>
          <w:sz w:val="35"/>
          <w:szCs w:val="35"/>
        </w:rPr>
        <w:br/>
      </w:r>
      <w:r w:rsidRPr="00B96C90">
        <w:rPr>
          <w:rFonts w:ascii="Times New Roman" w:eastAsia="Times New Roman" w:hAnsi="Times New Roman" w:cs="Times New Roman"/>
          <w:b/>
          <w:color w:val="262626"/>
          <w:sz w:val="21"/>
          <w:szCs w:val="21"/>
        </w:rPr>
        <w:t xml:space="preserve">Soft skills are becoming increasingly important for </w:t>
      </w:r>
      <w:r w:rsidRPr="00B96C90">
        <w:rPr>
          <w:rFonts w:ascii="Times New Roman" w:eastAsia="Times New Roman" w:hAnsi="Times New Roman" w:cs="Times New Roman"/>
          <w:b/>
          <w:color w:val="262626"/>
          <w:sz w:val="20"/>
          <w:szCs w:val="20"/>
        </w:rPr>
        <w:t xml:space="preserve">Advocates &amp; lawyers </w:t>
      </w:r>
      <w:r w:rsidRPr="00B96C90">
        <w:rPr>
          <w:rFonts w:ascii="Times New Roman" w:eastAsia="Times New Roman" w:hAnsi="Times New Roman" w:cs="Times New Roman"/>
          <w:b/>
          <w:color w:val="262626"/>
          <w:sz w:val="21"/>
          <w:szCs w:val="21"/>
        </w:rPr>
        <w:t>– in their ability to deliver excellent client service, to grow and lead teams and to develop future business.</w:t>
      </w:r>
    </w:p>
    <w:p w14:paraId="00000003" w14:textId="77777777" w:rsidR="00AD6B81" w:rsidRPr="00B96C90" w:rsidRDefault="00AD6B81">
      <w:pPr>
        <w:rPr>
          <w:rFonts w:ascii="Times New Roman" w:eastAsia="Times New Roman" w:hAnsi="Times New Roman" w:cs="Times New Roman"/>
          <w:b/>
          <w:color w:val="262626"/>
          <w:sz w:val="21"/>
          <w:szCs w:val="21"/>
        </w:rPr>
      </w:pPr>
    </w:p>
    <w:p w14:paraId="00000004" w14:textId="77777777" w:rsidR="00AD6B81" w:rsidRPr="00B96C90" w:rsidRDefault="00000000">
      <w:pPr>
        <w:rPr>
          <w:rFonts w:ascii="Times New Roman" w:eastAsia="Times New Roman" w:hAnsi="Times New Roman" w:cs="Times New Roman"/>
          <w:b/>
          <w:color w:val="262626"/>
          <w:sz w:val="21"/>
          <w:szCs w:val="21"/>
        </w:rPr>
      </w:pPr>
      <w:r w:rsidRPr="00B96C90">
        <w:rPr>
          <w:rFonts w:ascii="Times New Roman" w:eastAsia="Times New Roman" w:hAnsi="Times New Roman" w:cs="Times New Roman"/>
          <w:b/>
          <w:color w:val="262626"/>
          <w:sz w:val="21"/>
          <w:szCs w:val="21"/>
        </w:rPr>
        <w:t>A wide variety of essential soft skills for lawyers are identified. In particular:</w:t>
      </w:r>
    </w:p>
    <w:p w14:paraId="00000005" w14:textId="77777777" w:rsidR="00AD6B81" w:rsidRPr="00B96C90" w:rsidRDefault="00AD6B81">
      <w:pPr>
        <w:rPr>
          <w:rFonts w:ascii="Times New Roman" w:eastAsia="Times New Roman" w:hAnsi="Times New Roman" w:cs="Times New Roman"/>
          <w:b/>
          <w:color w:val="262626"/>
          <w:sz w:val="21"/>
          <w:szCs w:val="21"/>
        </w:rPr>
      </w:pPr>
    </w:p>
    <w:p w14:paraId="00000006" w14:textId="77777777" w:rsidR="00AD6B81" w:rsidRPr="00B96C90" w:rsidRDefault="00000000">
      <w:pPr>
        <w:rPr>
          <w:rFonts w:ascii="Times New Roman" w:eastAsia="Times New Roman" w:hAnsi="Times New Roman" w:cs="Times New Roman"/>
          <w:b/>
          <w:color w:val="262626"/>
          <w:sz w:val="21"/>
          <w:szCs w:val="21"/>
        </w:rPr>
      </w:pPr>
      <w:r w:rsidRPr="00B96C90">
        <w:rPr>
          <w:rFonts w:ascii="Times New Roman" w:eastAsia="Times New Roman" w:hAnsi="Times New Roman" w:cs="Times New Roman"/>
          <w:b/>
          <w:color w:val="262626"/>
          <w:sz w:val="21"/>
          <w:szCs w:val="21"/>
        </w:rPr>
        <w:t>💡Commerciality - As well as the need for broader commercial knowledge there were several mentions of a need for a more client-centric approach. For instance, an example pointed to sophisticated selling skills such as the need to add insight and value to all client interactions.</w:t>
      </w:r>
    </w:p>
    <w:p w14:paraId="00000007" w14:textId="77777777" w:rsidR="00AD6B81" w:rsidRPr="00B96C90" w:rsidRDefault="00AD6B81">
      <w:pPr>
        <w:rPr>
          <w:rFonts w:ascii="Times New Roman" w:eastAsia="Times New Roman" w:hAnsi="Times New Roman" w:cs="Times New Roman"/>
          <w:b/>
          <w:color w:val="262626"/>
          <w:sz w:val="21"/>
          <w:szCs w:val="21"/>
        </w:rPr>
      </w:pPr>
    </w:p>
    <w:p w14:paraId="00000008" w14:textId="77777777" w:rsidR="00AD6B81" w:rsidRPr="00B96C90" w:rsidRDefault="00000000">
      <w:pPr>
        <w:rPr>
          <w:rFonts w:ascii="Times New Roman" w:eastAsia="Times New Roman" w:hAnsi="Times New Roman" w:cs="Times New Roman"/>
          <w:b/>
          <w:color w:val="262626"/>
          <w:sz w:val="21"/>
          <w:szCs w:val="21"/>
        </w:rPr>
      </w:pPr>
      <w:r w:rsidRPr="00B96C90">
        <w:rPr>
          <w:rFonts w:ascii="Times New Roman" w:eastAsia="Times New Roman" w:hAnsi="Times New Roman" w:cs="Times New Roman"/>
          <w:b/>
          <w:color w:val="262626"/>
          <w:sz w:val="21"/>
          <w:szCs w:val="21"/>
        </w:rPr>
        <w:t>💡Conflict management – While some mentioned training in managing difficult conversations, others were concerned that managing difference, navigating conflict and negotiation skills were lacking.</w:t>
      </w:r>
    </w:p>
    <w:p w14:paraId="00000009" w14:textId="77777777" w:rsidR="00AD6B81" w:rsidRDefault="00AD6B81">
      <w:pPr>
        <w:rPr>
          <w:rFonts w:ascii="Times New Roman" w:eastAsia="Times New Roman" w:hAnsi="Times New Roman" w:cs="Times New Roman"/>
          <w:b/>
          <w:color w:val="262626"/>
          <w:sz w:val="21"/>
          <w:szCs w:val="21"/>
          <w:highlight w:val="white"/>
        </w:rPr>
      </w:pPr>
    </w:p>
    <w:p w14:paraId="0000000A"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💡Critical thinking, problem-solving and collaboration – We had always considered Advocates to be particularly skilled in this area. However, there were concerns that these soft skills were not as developed as they should be. There is a mainstream debate about the relative importance of specialist versus generalist skills.</w:t>
      </w:r>
    </w:p>
    <w:p w14:paraId="0000000B" w14:textId="77777777" w:rsidR="00AD6B81" w:rsidRDefault="00AD6B81">
      <w:pPr>
        <w:rPr>
          <w:rFonts w:ascii="Times New Roman" w:eastAsia="Times New Roman" w:hAnsi="Times New Roman" w:cs="Times New Roman"/>
          <w:b/>
          <w:color w:val="262626"/>
          <w:sz w:val="21"/>
          <w:szCs w:val="21"/>
          <w:highlight w:val="white"/>
        </w:rPr>
      </w:pPr>
    </w:p>
    <w:p w14:paraId="0000000C"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 xml:space="preserve">📚Many law firms are investing in developing the technological skills of their advocates – particularly </w:t>
      </w:r>
      <w:proofErr w:type="gramStart"/>
      <w:r>
        <w:rPr>
          <w:rFonts w:ascii="Times New Roman" w:eastAsia="Times New Roman" w:hAnsi="Times New Roman" w:cs="Times New Roman"/>
          <w:b/>
          <w:color w:val="262626"/>
          <w:sz w:val="21"/>
          <w:szCs w:val="21"/>
          <w:highlight w:val="white"/>
        </w:rPr>
        <w:t>with regard to</w:t>
      </w:r>
      <w:proofErr w:type="gramEnd"/>
      <w:r>
        <w:rPr>
          <w:rFonts w:ascii="Times New Roman" w:eastAsia="Times New Roman" w:hAnsi="Times New Roman" w:cs="Times New Roman"/>
          <w:b/>
          <w:color w:val="262626"/>
          <w:sz w:val="21"/>
          <w:szCs w:val="21"/>
          <w:highlight w:val="white"/>
        </w:rPr>
        <w:t xml:space="preserve"> artificial intelligence, machine learning and automation.</w:t>
      </w:r>
    </w:p>
    <w:p w14:paraId="0000000D" w14:textId="77777777" w:rsidR="00AD6B81" w:rsidRDefault="00AD6B81">
      <w:pPr>
        <w:rPr>
          <w:rFonts w:ascii="Times New Roman" w:eastAsia="Times New Roman" w:hAnsi="Times New Roman" w:cs="Times New Roman"/>
          <w:b/>
          <w:color w:val="262626"/>
          <w:sz w:val="21"/>
          <w:szCs w:val="21"/>
          <w:highlight w:val="white"/>
        </w:rPr>
      </w:pPr>
    </w:p>
    <w:p w14:paraId="0000000E" w14:textId="77777777" w:rsidR="00AD6B81" w:rsidRDefault="00AD6B81">
      <w:pPr>
        <w:jc w:val="center"/>
        <w:rPr>
          <w:rFonts w:ascii="Times New Roman" w:eastAsia="Times New Roman" w:hAnsi="Times New Roman" w:cs="Times New Roman"/>
          <w:b/>
          <w:color w:val="262626"/>
          <w:sz w:val="35"/>
          <w:szCs w:val="35"/>
          <w:highlight w:val="white"/>
        </w:rPr>
      </w:pPr>
    </w:p>
    <w:p w14:paraId="0000000F" w14:textId="77777777" w:rsidR="00AD6B81" w:rsidRDefault="00AD6B81">
      <w:pPr>
        <w:jc w:val="center"/>
        <w:rPr>
          <w:rFonts w:ascii="Times New Roman" w:eastAsia="Times New Roman" w:hAnsi="Times New Roman" w:cs="Times New Roman"/>
          <w:b/>
          <w:color w:val="262626"/>
          <w:sz w:val="35"/>
          <w:szCs w:val="35"/>
          <w:highlight w:val="white"/>
        </w:rPr>
      </w:pPr>
    </w:p>
    <w:p w14:paraId="00000010" w14:textId="77777777" w:rsidR="00AD6B81" w:rsidRDefault="00AD6B81">
      <w:pPr>
        <w:jc w:val="center"/>
        <w:rPr>
          <w:rFonts w:ascii="Times New Roman" w:eastAsia="Times New Roman" w:hAnsi="Times New Roman" w:cs="Times New Roman"/>
          <w:b/>
          <w:color w:val="262626"/>
          <w:sz w:val="35"/>
          <w:szCs w:val="35"/>
          <w:highlight w:val="white"/>
        </w:rPr>
      </w:pPr>
    </w:p>
    <w:p w14:paraId="00000011" w14:textId="77777777" w:rsidR="00AD6B81" w:rsidRDefault="00000000">
      <w:pPr>
        <w:jc w:val="center"/>
        <w:rPr>
          <w:rFonts w:ascii="Times New Roman" w:eastAsia="Times New Roman" w:hAnsi="Times New Roman" w:cs="Times New Roman"/>
          <w:b/>
          <w:color w:val="262626"/>
          <w:sz w:val="35"/>
          <w:szCs w:val="35"/>
          <w:highlight w:val="white"/>
        </w:rPr>
      </w:pPr>
      <w:r>
        <w:rPr>
          <w:rFonts w:ascii="Times New Roman" w:eastAsia="Times New Roman" w:hAnsi="Times New Roman" w:cs="Times New Roman"/>
          <w:b/>
          <w:color w:val="262626"/>
          <w:sz w:val="35"/>
          <w:szCs w:val="35"/>
          <w:highlight w:val="white"/>
        </w:rPr>
        <w:t>Brief about Judicial Services Exam in India</w:t>
      </w:r>
    </w:p>
    <w:p w14:paraId="00000012" w14:textId="77777777" w:rsidR="00AD6B81" w:rsidRDefault="00AD6B81">
      <w:pPr>
        <w:rPr>
          <w:rFonts w:ascii="Times New Roman" w:eastAsia="Times New Roman" w:hAnsi="Times New Roman" w:cs="Times New Roman"/>
          <w:color w:val="262626"/>
          <w:sz w:val="21"/>
          <w:szCs w:val="21"/>
          <w:highlight w:val="white"/>
        </w:rPr>
      </w:pPr>
    </w:p>
    <w:p w14:paraId="00000013"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The Judicial Services Examination is a yearly conducted exam. These exams are conducted by the Public Service Commission of each state under the supervision of their respective High Courts.</w:t>
      </w:r>
    </w:p>
    <w:p w14:paraId="00000014" w14:textId="77777777" w:rsidR="00AD6B81" w:rsidRDefault="00AD6B81">
      <w:pPr>
        <w:rPr>
          <w:rFonts w:ascii="Times New Roman" w:eastAsia="Times New Roman" w:hAnsi="Times New Roman" w:cs="Times New Roman"/>
          <w:b/>
          <w:color w:val="262626"/>
          <w:sz w:val="21"/>
          <w:szCs w:val="21"/>
          <w:highlight w:val="white"/>
        </w:rPr>
      </w:pPr>
    </w:p>
    <w:p w14:paraId="00000015"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 𝐄𝐥𝐢𝐠𝐢𝐛𝐢𝐥𝐢𝐭𝐲 𝐂𝐫𝐢𝐭𝐞𝐫𝐢𝐚: Any Indian citizen, between the age of 21 to 35 years, holding LL.B. degree is eligible for the entry level judicial service exam.</w:t>
      </w:r>
    </w:p>
    <w:p w14:paraId="00000016" w14:textId="77777777" w:rsidR="00AD6B81" w:rsidRDefault="00AD6B81">
      <w:pPr>
        <w:rPr>
          <w:rFonts w:ascii="Times New Roman" w:eastAsia="Times New Roman" w:hAnsi="Times New Roman" w:cs="Times New Roman"/>
          <w:b/>
          <w:color w:val="262626"/>
          <w:sz w:val="21"/>
          <w:szCs w:val="21"/>
          <w:highlight w:val="white"/>
        </w:rPr>
      </w:pPr>
    </w:p>
    <w:p w14:paraId="00000017"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 𝐄𝐱𝐚𝐦𝐢𝐧𝐚𝐭𝐢𝐨𝐧 𝐒𝐭𝐫𝐮𝐜𝐭𝐮𝐫𝐞: Judicial service examination is held in three successive stages namely 1. Preliminary Examination 2. Mains and 3. Viva-Voce/Interview.</w:t>
      </w:r>
    </w:p>
    <w:p w14:paraId="00000018" w14:textId="77777777" w:rsidR="00AD6B81" w:rsidRDefault="00AD6B81">
      <w:pPr>
        <w:rPr>
          <w:rFonts w:ascii="Times New Roman" w:eastAsia="Times New Roman" w:hAnsi="Times New Roman" w:cs="Times New Roman"/>
          <w:b/>
          <w:color w:val="262626"/>
          <w:sz w:val="21"/>
          <w:szCs w:val="21"/>
          <w:highlight w:val="white"/>
        </w:rPr>
      </w:pPr>
    </w:p>
    <w:p w14:paraId="00000019"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 𝐒𝐲𝐥𝐥𝐚𝐛𝐮𝐬: It shall vary for each state-level judiciary exam. However, few subjects are included in almost all the state-wise Judicial Exams. Syllabus is broadly divided into Civil law, Criminal Law, and Language paper.</w:t>
      </w:r>
    </w:p>
    <w:p w14:paraId="0000001A" w14:textId="77777777" w:rsidR="00AD6B81" w:rsidRDefault="00AD6B81">
      <w:pPr>
        <w:rPr>
          <w:rFonts w:ascii="Times New Roman" w:eastAsia="Times New Roman" w:hAnsi="Times New Roman" w:cs="Times New Roman"/>
          <w:b/>
          <w:color w:val="262626"/>
          <w:sz w:val="21"/>
          <w:szCs w:val="21"/>
          <w:highlight w:val="white"/>
        </w:rPr>
      </w:pPr>
    </w:p>
    <w:p w14:paraId="0000001B"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 𝐇𝐢𝐠𝐡𝐞𝐫 𝐉𝐮𝐝𝐢𝐜𝐢𝐚𝐥 𝐒𝐞𝐫𝐯𝐢𝐜𝐞 𝐄𝐱𝐚𝐦: For higher judicial service exam candidates must be graduates in law and have a minimum number of years of litigating practice; usually seven years. (Age varies from state to state, usually seven years 35 to 42 years)</w:t>
      </w:r>
    </w:p>
    <w:p w14:paraId="0000001C" w14:textId="77777777" w:rsidR="00AD6B81" w:rsidRDefault="00AD6B81">
      <w:pPr>
        <w:rPr>
          <w:rFonts w:ascii="Times New Roman" w:eastAsia="Times New Roman" w:hAnsi="Times New Roman" w:cs="Times New Roman"/>
          <w:b/>
          <w:color w:val="262626"/>
          <w:sz w:val="21"/>
          <w:szCs w:val="21"/>
          <w:highlight w:val="white"/>
        </w:rPr>
      </w:pPr>
    </w:p>
    <w:p w14:paraId="0000001D" w14:textId="77777777" w:rsidR="00AD6B81" w:rsidRDefault="00000000">
      <w:pPr>
        <w:rPr>
          <w:rFonts w:ascii="Times New Roman" w:eastAsia="Times New Roman" w:hAnsi="Times New Roman" w:cs="Times New Roman"/>
          <w:b/>
          <w:color w:val="262626"/>
          <w:sz w:val="21"/>
          <w:szCs w:val="21"/>
          <w:highlight w:val="white"/>
        </w:rPr>
      </w:pPr>
      <w:r>
        <w:rPr>
          <w:rFonts w:ascii="Times New Roman" w:eastAsia="Times New Roman" w:hAnsi="Times New Roman" w:cs="Times New Roman"/>
          <w:b/>
          <w:color w:val="262626"/>
          <w:sz w:val="21"/>
          <w:szCs w:val="21"/>
          <w:highlight w:val="white"/>
        </w:rPr>
        <w:t>✔ 𝐋𝐚𝐰 𝐒𝐮𝐛𝐣𝐞𝐜𝐭𝐬: General Knowledge, Essay, Precis Writing &amp; Language (Translation), Indian Contract Law, Indian Sale of Goods Act, Indian Partnership Act, Specific Relief Act, Hindu Law, Mohammedan Law, Law of Torts, Civil Procedure Code, Law of Evidence, Law of Registration, Law of Limitation, Criminal Procedure Code, Indian Penal Code, Indian Evidence Act.</w:t>
      </w:r>
    </w:p>
    <w:p w14:paraId="0000001E" w14:textId="77777777" w:rsidR="00AD6B81" w:rsidRDefault="00AD6B81">
      <w:pPr>
        <w:rPr>
          <w:rFonts w:ascii="Times New Roman" w:eastAsia="Times New Roman" w:hAnsi="Times New Roman" w:cs="Times New Roman"/>
          <w:color w:val="262626"/>
          <w:sz w:val="21"/>
          <w:szCs w:val="21"/>
          <w:highlight w:val="white"/>
        </w:rPr>
      </w:pPr>
    </w:p>
    <w:p w14:paraId="0000001F" w14:textId="77777777" w:rsidR="00AD6B81" w:rsidRDefault="00AD6B81">
      <w:pPr>
        <w:rPr>
          <w:rFonts w:ascii="Times New Roman" w:eastAsia="Times New Roman" w:hAnsi="Times New Roman" w:cs="Times New Roman"/>
          <w:b/>
          <w:color w:val="262626"/>
          <w:sz w:val="21"/>
          <w:szCs w:val="21"/>
          <w:highlight w:val="white"/>
        </w:rPr>
      </w:pPr>
    </w:p>
    <w:sectPr w:rsidR="00AD6B8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81"/>
    <w:rsid w:val="00AD6B81"/>
    <w:rsid w:val="00B96C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4DF4A-ACFD-4574-9B7A-72984A36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Akshay Soni</cp:lastModifiedBy>
  <cp:revision>2</cp:revision>
  <dcterms:created xsi:type="dcterms:W3CDTF">2022-12-17T08:58:00Z</dcterms:created>
  <dcterms:modified xsi:type="dcterms:W3CDTF">2022-12-17T08:58:00Z</dcterms:modified>
</cp:coreProperties>
</file>